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5EB51">
      <w:pPr>
        <w:jc w:val="center"/>
      </w:pPr>
      <w:r>
        <w:rPr>
          <w:rFonts w:hint="default" w:ascii="Times New Roman" w:hAnsi="Times New Roman" w:cs="Times New Roman"/>
          <w:b/>
          <w:sz w:val="28"/>
        </w:rPr>
        <w:t>SPSSAU - AHP Hierarchical Analysis</w:t>
      </w:r>
      <w:r>
        <w:rPr>
          <w:rFonts w:hint="eastAsia" w:ascii="Times New Roman" w:hAnsi="Times New Roman" w:eastAsia="宋体" w:cs="Times New Roman"/>
          <w:b/>
          <w:sz w:val="28"/>
          <w:lang w:val="en-US" w:eastAsia="zh-CN"/>
        </w:rPr>
        <w:t xml:space="preserve"> (Factor layer)</w:t>
      </w:r>
    </w:p>
    <w:tbl>
      <w:tblPr>
        <w:tblStyle w:val="41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"/>
        <w:gridCol w:w="569"/>
        <w:gridCol w:w="314"/>
        <w:gridCol w:w="255"/>
        <w:gridCol w:w="314"/>
        <w:gridCol w:w="255"/>
        <w:gridCol w:w="194"/>
        <w:gridCol w:w="187"/>
        <w:gridCol w:w="200"/>
        <w:gridCol w:w="304"/>
        <w:gridCol w:w="277"/>
        <w:gridCol w:w="313"/>
        <w:gridCol w:w="255"/>
        <w:gridCol w:w="239"/>
        <w:gridCol w:w="330"/>
        <w:gridCol w:w="305"/>
        <w:gridCol w:w="264"/>
        <w:gridCol w:w="569"/>
        <w:gridCol w:w="743"/>
        <w:gridCol w:w="284"/>
        <w:gridCol w:w="284"/>
        <w:gridCol w:w="743"/>
        <w:gridCol w:w="285"/>
        <w:gridCol w:w="285"/>
        <w:gridCol w:w="744"/>
      </w:tblGrid>
      <w:tr w14:paraId="7262FE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gridSpan w:val="25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02802130">
            <w:pPr>
              <w:pStyle w:val="24"/>
              <w:spacing w:before="0" w:after="0" w:line="240" w:lineRule="auto"/>
              <w:jc w:val="center"/>
            </w:pPr>
            <w:bookmarkStart w:id="0" w:name="t1"/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AHP Data</w:t>
            </w:r>
          </w:p>
        </w:tc>
      </w:tr>
      <w:tr w14:paraId="7738B8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672BBAF">
            <w:pPr>
              <w:pStyle w:val="24"/>
              <w:spacing w:before="0" w:after="0" w:line="240" w:lineRule="auto"/>
            </w:pPr>
          </w:p>
        </w:tc>
        <w:tc>
          <w:tcPr>
            <w:gridSpan w:val="5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6FAAA4AE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Indicator1</w:t>
            </w:r>
          </w:p>
        </w:tc>
        <w:tc>
          <w:tcPr>
            <w:gridSpan w:val="7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637D219D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Indicator2</w:t>
            </w:r>
          </w:p>
        </w:tc>
        <w:tc>
          <w:tcPr>
            <w:gridSpan w:val="4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69007E79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Indicator3</w:t>
            </w:r>
          </w:p>
        </w:tc>
        <w:tc>
          <w:tcPr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D4C7AA1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Indicator4</w:t>
            </w:r>
          </w:p>
        </w:tc>
        <w:tc>
          <w:tcPr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4400E25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Indicator5</w:t>
            </w:r>
          </w:p>
        </w:tc>
        <w:tc>
          <w:tcPr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643672C1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Indicator6</w:t>
            </w:r>
          </w:p>
        </w:tc>
      </w:tr>
      <w:tr w14:paraId="4EF48B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D93B3D3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Indicator1</w:t>
            </w:r>
          </w:p>
        </w:tc>
        <w:tc>
          <w:tcPr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824051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gridSpan w:val="7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DC14AA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A03E75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0.250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E3FEF1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0.111</w:t>
            </w:r>
          </w:p>
        </w:tc>
        <w:tc>
          <w:tcPr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15C35C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0.125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4EAE7A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0.333</w:t>
            </w:r>
          </w:p>
        </w:tc>
      </w:tr>
      <w:tr w14:paraId="24C874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79AF813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Indicator2</w:t>
            </w:r>
          </w:p>
        </w:tc>
        <w:tc>
          <w:tcPr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F0777F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  <w:tc>
          <w:tcPr>
            <w:gridSpan w:val="7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FD3909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387A4F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0.333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B037B6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0.143</w:t>
            </w:r>
          </w:p>
        </w:tc>
        <w:tc>
          <w:tcPr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BCDC02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0.167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63ED5F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</w:tr>
      <w:tr w14:paraId="2BFB6E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D679A14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Indicator3</w:t>
            </w:r>
          </w:p>
        </w:tc>
        <w:tc>
          <w:tcPr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E6A155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4.000</w:t>
            </w:r>
          </w:p>
        </w:tc>
        <w:tc>
          <w:tcPr>
            <w:gridSpan w:val="7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19F69B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3.000</w:t>
            </w:r>
          </w:p>
        </w:tc>
        <w:tc>
          <w:tcPr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06F332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3BE6DE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0.333</w:t>
            </w:r>
          </w:p>
        </w:tc>
        <w:tc>
          <w:tcPr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33E7FA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131BD8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</w:tr>
      <w:tr w14:paraId="5E2CB2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A0C324A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Indicator4</w:t>
            </w:r>
          </w:p>
        </w:tc>
        <w:tc>
          <w:tcPr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788E8D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9.000</w:t>
            </w:r>
          </w:p>
        </w:tc>
        <w:tc>
          <w:tcPr>
            <w:gridSpan w:val="7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0F10AE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7.000</w:t>
            </w:r>
          </w:p>
        </w:tc>
        <w:tc>
          <w:tcPr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F01F8D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3.000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746827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6034C6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0D4631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5.000</w:t>
            </w:r>
          </w:p>
        </w:tc>
      </w:tr>
      <w:tr w14:paraId="363A71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8B5922D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Indicator5</w:t>
            </w:r>
          </w:p>
        </w:tc>
        <w:tc>
          <w:tcPr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F6DB7A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8.000</w:t>
            </w:r>
          </w:p>
        </w:tc>
        <w:tc>
          <w:tcPr>
            <w:gridSpan w:val="7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0C46BC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6.000</w:t>
            </w:r>
          </w:p>
        </w:tc>
        <w:tc>
          <w:tcPr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C36BF7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CEFD6A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8DEDC7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EB3BA7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4.000</w:t>
            </w:r>
          </w:p>
        </w:tc>
      </w:tr>
      <w:tr w14:paraId="440946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gridSpan w:val="2"/>
            <w:tcBorders>
              <w:bottom w:val="single" w:color="auto" w:sz="12" w:space="0"/>
            </w:tcBorders>
          </w:tcPr>
          <w:p w14:paraId="2A3CFE36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Indicator6</w:t>
            </w:r>
          </w:p>
        </w:tc>
        <w:tc>
          <w:tcPr>
            <w:gridSpan w:val="5"/>
            <w:tcBorders>
              <w:bottom w:val="single" w:color="auto" w:sz="12" w:space="0"/>
            </w:tcBorders>
          </w:tcPr>
          <w:p w14:paraId="583AB9E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3.000</w:t>
            </w:r>
          </w:p>
        </w:tc>
        <w:tc>
          <w:tcPr>
            <w:gridSpan w:val="7"/>
            <w:tcBorders>
              <w:bottom w:val="single" w:color="auto" w:sz="12" w:space="0"/>
            </w:tcBorders>
          </w:tcPr>
          <w:p w14:paraId="702DF2A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  <w:tc>
          <w:tcPr>
            <w:gridSpan w:val="4"/>
            <w:tcBorders>
              <w:bottom w:val="single" w:color="auto" w:sz="12" w:space="0"/>
            </w:tcBorders>
          </w:tcPr>
          <w:p w14:paraId="658591E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gridSpan w:val="2"/>
            <w:tcBorders>
              <w:bottom w:val="single" w:color="auto" w:sz="12" w:space="0"/>
            </w:tcBorders>
          </w:tcPr>
          <w:p w14:paraId="5A3809F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0.200</w:t>
            </w:r>
          </w:p>
        </w:tc>
        <w:tc>
          <w:tcPr>
            <w:gridSpan w:val="3"/>
            <w:tcBorders>
              <w:bottom w:val="single" w:color="auto" w:sz="12" w:space="0"/>
            </w:tcBorders>
          </w:tcPr>
          <w:p w14:paraId="7F0D8DF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0.250</w:t>
            </w:r>
          </w:p>
        </w:tc>
        <w:tc>
          <w:tcPr>
            <w:gridSpan w:val="2"/>
            <w:tcBorders>
              <w:bottom w:val="single" w:color="auto" w:sz="12" w:space="0"/>
            </w:tcBorders>
          </w:tcPr>
          <w:p w14:paraId="29989E2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</w:tr>
      <w:bookmarkEnd w:id="0"/>
      <w:tr w14:paraId="4EA40D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2212" w:type="dxa"/>
          <w:cantSplit/>
          <w:trHeight w:val="226" w:hRule="atLeast"/>
          <w:jc w:val="center"/>
        </w:trPr>
        <w:tc>
          <w:tcPr>
            <w:gridSpan w:val="20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4F713C63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sz w:val="20"/>
              </w:rPr>
            </w:pPr>
            <w:bookmarkStart w:id="1" w:name="t2"/>
            <w:r>
              <w:rPr>
                <w:rFonts w:hint="eastAsia" w:ascii="Times New Roman" w:hAnsi="Times New Roman" w:eastAsia="宋体" w:cs="Times New Roman"/>
                <w:sz w:val="20"/>
              </w:rPr>
              <w:t xml:space="preserve">Analysis Recommendations  </w:t>
            </w:r>
          </w:p>
          <w:p w14:paraId="4E8A8F43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 xml:space="preserve">The original data for the AHP hierarchical analysis (i.e., input data) is shown in the table above;  </w:t>
            </w:r>
          </w:p>
          <w:p w14:paraId="4625DB7B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 xml:space="preserve">First: In the AHP data format, the diagonal from the top left to the bottom right must be 1, indicating that the importance of an indicator relative to itself is completely equal;  </w:t>
            </w:r>
          </w:p>
          <w:p w14:paraId="71A4871C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 xml:space="preserve">Second: The data in the upper right and lower left corners are reciprocally symmetrical;  </w:t>
            </w:r>
          </w:p>
          <w:p w14:paraId="553815F8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Third: The numbers represent the relative importance between indicators, with larger numbers indicating stronger relative importance.</w:t>
            </w:r>
          </w:p>
          <w:p w14:paraId="60E7DDC6">
            <w:pPr>
              <w:pStyle w:val="24"/>
              <w:spacing w:before="0" w:after="0" w:line="240" w:lineRule="auto"/>
              <w:jc w:val="center"/>
            </w:pPr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AHP Hierarchical Analysis Results</w:t>
            </w:r>
          </w:p>
        </w:tc>
      </w:tr>
      <w:tr w14:paraId="5857B3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2212" w:type="dxa"/>
          <w:cantSplit/>
          <w:trHeight w:val="226" w:hRule="atLeast"/>
          <w:jc w:val="center"/>
        </w:trPr>
        <w:tc>
          <w:tcPr>
            <w:tcW w:w="1144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4381FA72">
            <w:pPr>
              <w:pStyle w:val="24"/>
              <w:spacing w:before="0" w:after="0" w:line="240" w:lineRule="auto"/>
            </w:pPr>
            <w:bookmarkStart w:id="4" w:name="_GoBack" w:colFirst="0" w:colLast="11"/>
            <w:r>
              <w:rPr>
                <w:rFonts w:hint="eastAsia" w:ascii="Times New Roman" w:hAnsi="Times New Roman" w:eastAsia="宋体" w:cs="Times New Roman"/>
                <w:sz w:val="20"/>
              </w:rPr>
              <w:t>Item</w:t>
            </w:r>
          </w:p>
        </w:tc>
        <w:tc>
          <w:tcPr>
            <w:tcW w:w="1240" w:type="dxa"/>
            <w:gridSpan w:val="5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11C4B085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Feature vector</w:t>
            </w:r>
          </w:p>
        </w:tc>
        <w:tc>
          <w:tcPr>
            <w:tcW w:w="1240" w:type="dxa"/>
            <w:gridSpan w:val="5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0EF27D0E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Weight value</w:t>
            </w:r>
          </w:p>
        </w:tc>
        <w:tc>
          <w:tcPr>
            <w:tcW w:w="1780" w:type="dxa"/>
            <w:gridSpan w:val="6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4D0BF391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Largest eigenvalue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0816AF16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CI value</w:t>
            </w:r>
          </w:p>
        </w:tc>
      </w:tr>
      <w:bookmarkEnd w:id="4"/>
      <w:tr w14:paraId="0AD10F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2212" w:type="dxa"/>
          <w:cantSplit/>
          <w:trHeight w:val="226" w:hRule="atLeast"/>
          <w:jc w:val="center"/>
        </w:trPr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D3D16C4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Indicator1</w:t>
            </w:r>
          </w:p>
        </w:tc>
        <w:tc>
          <w:tcPr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E1EB7C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0.203</w:t>
            </w:r>
          </w:p>
        </w:tc>
        <w:tc>
          <w:tcPr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C39912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3.3909%</w:t>
            </w:r>
          </w:p>
        </w:tc>
        <w:tc>
          <w:tcPr>
            <w:gridSpan w:val="6"/>
            <w:vMerge w:val="restar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vAlign w:val="center"/>
          </w:tcPr>
          <w:p w14:paraId="5E4A0DF8">
            <w:pPr>
              <w:pStyle w:val="24"/>
              <w:spacing w:before="0" w:after="0" w:line="240" w:lineRule="auto"/>
              <w:jc w:val="center"/>
            </w:pPr>
            <w:r>
              <w:rPr>
                <w:rFonts w:ascii="Times New Roman" w:hAnsi="Times New Roman" w:eastAsia="宋体" w:cs="Times New Roman"/>
                <w:sz w:val="20"/>
              </w:rPr>
              <w:t>6.073</w:t>
            </w:r>
          </w:p>
        </w:tc>
        <w:tc>
          <w:tcPr>
            <w:gridSpan w:val="2"/>
            <w:vMerge w:val="restar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vAlign w:val="center"/>
          </w:tcPr>
          <w:p w14:paraId="45E6FD2C">
            <w:pPr>
              <w:pStyle w:val="24"/>
              <w:spacing w:before="0" w:after="0" w:line="240" w:lineRule="auto"/>
              <w:jc w:val="center"/>
            </w:pPr>
            <w:r>
              <w:rPr>
                <w:rFonts w:ascii="Times New Roman" w:hAnsi="Times New Roman" w:eastAsia="宋体" w:cs="Times New Roman"/>
                <w:sz w:val="20"/>
              </w:rPr>
              <w:t>0.015</w:t>
            </w:r>
          </w:p>
        </w:tc>
      </w:tr>
      <w:tr w14:paraId="0EA688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2212" w:type="dxa"/>
          <w:cantSplit/>
          <w:trHeight w:val="226" w:hRule="atLeast"/>
          <w:jc w:val="center"/>
        </w:trPr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9CD6CA8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Indicator2</w:t>
            </w:r>
          </w:p>
        </w:tc>
        <w:tc>
          <w:tcPr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A086AB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0.315</w:t>
            </w:r>
          </w:p>
        </w:tc>
        <w:tc>
          <w:tcPr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1E6322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5.2512%</w:t>
            </w:r>
          </w:p>
        </w:tc>
        <w:tc>
          <w:tcPr>
            <w:gridSpan w:val="6"/>
            <w:vMerge w:val="continue"/>
          </w:tcPr>
          <w:p w14:paraId="14180D40">
            <w:pPr>
              <w:spacing w:before="0" w:after="0" w:line="240" w:lineRule="auto"/>
            </w:pPr>
          </w:p>
        </w:tc>
        <w:tc>
          <w:tcPr>
            <w:gridSpan w:val="2"/>
            <w:vMerge w:val="continue"/>
          </w:tcPr>
          <w:p w14:paraId="16F052E2">
            <w:pPr>
              <w:spacing w:before="0" w:after="0" w:line="240" w:lineRule="auto"/>
            </w:pPr>
          </w:p>
        </w:tc>
      </w:tr>
      <w:tr w14:paraId="49924A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2212" w:type="dxa"/>
          <w:cantSplit/>
          <w:trHeight w:val="226" w:hRule="atLeast"/>
          <w:jc w:val="center"/>
        </w:trPr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A119993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Indicator3</w:t>
            </w:r>
          </w:p>
        </w:tc>
        <w:tc>
          <w:tcPr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464F58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0.868</w:t>
            </w:r>
          </w:p>
        </w:tc>
        <w:tc>
          <w:tcPr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8A5CAA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14.4743%</w:t>
            </w:r>
          </w:p>
        </w:tc>
        <w:tc>
          <w:tcPr>
            <w:gridSpan w:val="6"/>
            <w:vMerge w:val="continue"/>
          </w:tcPr>
          <w:p w14:paraId="0671BB5E">
            <w:pPr>
              <w:spacing w:before="0" w:after="0" w:line="240" w:lineRule="auto"/>
            </w:pPr>
          </w:p>
        </w:tc>
        <w:tc>
          <w:tcPr>
            <w:gridSpan w:val="2"/>
            <w:vMerge w:val="continue"/>
          </w:tcPr>
          <w:p w14:paraId="5F40DF1C">
            <w:pPr>
              <w:spacing w:before="0" w:after="0" w:line="240" w:lineRule="auto"/>
            </w:pPr>
          </w:p>
        </w:tc>
      </w:tr>
      <w:tr w14:paraId="13CAEB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2212" w:type="dxa"/>
          <w:cantSplit/>
          <w:trHeight w:val="226" w:hRule="atLeast"/>
          <w:jc w:val="center"/>
        </w:trPr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6178EBD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Indicator4</w:t>
            </w:r>
          </w:p>
        </w:tc>
        <w:tc>
          <w:tcPr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2290CD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2.437</w:t>
            </w:r>
          </w:p>
        </w:tc>
        <w:tc>
          <w:tcPr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62FB78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40.6248%</w:t>
            </w:r>
          </w:p>
        </w:tc>
        <w:tc>
          <w:tcPr>
            <w:gridSpan w:val="6"/>
            <w:vMerge w:val="continue"/>
          </w:tcPr>
          <w:p w14:paraId="403F1EEF">
            <w:pPr>
              <w:spacing w:before="0" w:after="0" w:line="240" w:lineRule="auto"/>
            </w:pPr>
          </w:p>
        </w:tc>
        <w:tc>
          <w:tcPr>
            <w:gridSpan w:val="2"/>
            <w:vMerge w:val="continue"/>
          </w:tcPr>
          <w:p w14:paraId="40A87789">
            <w:pPr>
              <w:spacing w:before="0" w:after="0" w:line="240" w:lineRule="auto"/>
            </w:pPr>
          </w:p>
        </w:tc>
      </w:tr>
      <w:tr w14:paraId="44431C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2212" w:type="dxa"/>
          <w:cantSplit/>
          <w:trHeight w:val="226" w:hRule="atLeast"/>
          <w:jc w:val="center"/>
        </w:trPr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09248D4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Indicator5</w:t>
            </w:r>
          </w:p>
        </w:tc>
        <w:tc>
          <w:tcPr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BFE5A4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1.664</w:t>
            </w:r>
          </w:p>
        </w:tc>
        <w:tc>
          <w:tcPr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05B7A0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27.7342%</w:t>
            </w:r>
          </w:p>
        </w:tc>
        <w:tc>
          <w:tcPr>
            <w:gridSpan w:val="6"/>
            <w:vMerge w:val="continue"/>
          </w:tcPr>
          <w:p w14:paraId="63A704BD">
            <w:pPr>
              <w:spacing w:before="0" w:after="0" w:line="240" w:lineRule="auto"/>
            </w:pPr>
          </w:p>
        </w:tc>
        <w:tc>
          <w:tcPr>
            <w:gridSpan w:val="2"/>
            <w:vMerge w:val="continue"/>
          </w:tcPr>
          <w:p w14:paraId="74AD869E">
            <w:pPr>
              <w:spacing w:before="0" w:after="0" w:line="240" w:lineRule="auto"/>
            </w:pPr>
          </w:p>
        </w:tc>
      </w:tr>
      <w:tr w14:paraId="59B025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2212" w:type="dxa"/>
          <w:cantSplit/>
          <w:trHeight w:val="226" w:hRule="atLeast"/>
          <w:jc w:val="center"/>
        </w:trPr>
        <w:tc>
          <w:tcPr>
            <w:gridSpan w:val="2"/>
            <w:tcBorders>
              <w:bottom w:val="single" w:color="auto" w:sz="12" w:space="0"/>
            </w:tcBorders>
          </w:tcPr>
          <w:p w14:paraId="749797FB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Indicator6</w:t>
            </w:r>
          </w:p>
        </w:tc>
        <w:tc>
          <w:tcPr>
            <w:gridSpan w:val="5"/>
            <w:tcBorders>
              <w:bottom w:val="single" w:color="auto" w:sz="12" w:space="0"/>
            </w:tcBorders>
          </w:tcPr>
          <w:p w14:paraId="1A9D291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0.511</w:t>
            </w:r>
          </w:p>
        </w:tc>
        <w:tc>
          <w:tcPr>
            <w:gridSpan w:val="5"/>
            <w:tcBorders>
              <w:bottom w:val="single" w:color="auto" w:sz="12" w:space="0"/>
            </w:tcBorders>
          </w:tcPr>
          <w:p w14:paraId="7D0784D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8.5247%</w:t>
            </w:r>
          </w:p>
        </w:tc>
        <w:tc>
          <w:tcPr>
            <w:gridSpan w:val="6"/>
            <w:vMerge w:val="continue"/>
            <w:tcBorders>
              <w:bottom w:val="single" w:color="auto" w:sz="12" w:space="0"/>
            </w:tcBorders>
          </w:tcPr>
          <w:p w14:paraId="35E06795">
            <w:pPr>
              <w:spacing w:before="0" w:after="0" w:line="240" w:lineRule="auto"/>
            </w:pPr>
          </w:p>
        </w:tc>
        <w:tc>
          <w:tcPr>
            <w:gridSpan w:val="2"/>
            <w:vMerge w:val="continue"/>
            <w:tcBorders>
              <w:bottom w:val="single" w:color="auto" w:sz="12" w:space="0"/>
            </w:tcBorders>
          </w:tcPr>
          <w:p w14:paraId="7633C969">
            <w:pPr>
              <w:spacing w:before="0" w:after="0" w:line="240" w:lineRule="auto"/>
            </w:pPr>
          </w:p>
        </w:tc>
      </w:tr>
      <w:bookmarkEnd w:id="1"/>
      <w:tr w14:paraId="3965BB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gridSpan w:val="25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4B096228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0"/>
              </w:rPr>
            </w:pPr>
            <w:bookmarkStart w:id="2" w:name="t3"/>
            <w:r>
              <w:rPr>
                <w:rFonts w:hint="eastAsia" w:ascii="Times New Roman" w:hAnsi="Times New Roman" w:eastAsia="宋体" w:cs="Times New Roman"/>
                <w:color w:val="auto"/>
                <w:sz w:val="20"/>
              </w:rPr>
              <w:t>Analysis Recommendations</w:t>
            </w:r>
          </w:p>
          <w:p w14:paraId="1C02273F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</w:rPr>
              <w:t>The AHP (Analytic Hierarchy Process) method is used to study the calculation of expert scoring weights;</w:t>
            </w:r>
          </w:p>
          <w:p w14:paraId="485A68D6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</w:rPr>
              <w:t>First: The AHP method is used to calculate weights and requires consistency testing;</w:t>
            </w:r>
          </w:p>
          <w:p w14:paraId="2B63364A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</w:rPr>
              <w:t>Second: Describe the weight of each indicator one by one;</w:t>
            </w:r>
          </w:p>
          <w:p w14:paraId="7D2F15B7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</w:rPr>
              <w:t>Third: SPSSAU uses the sum-product method by default for AHP research (optionally, the square root method can be used).</w:t>
            </w:r>
          </w:p>
          <w:p w14:paraId="3F2991EE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</w:rPr>
              <w:t>[Tip: Click here to view the algorithm manual].</w:t>
            </w:r>
          </w:p>
          <w:p w14:paraId="3668D421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0"/>
              </w:rPr>
            </w:pPr>
          </w:p>
          <w:p w14:paraId="7D39F55A">
            <w:pPr>
              <w:pStyle w:val="24"/>
              <w:spacing w:before="0" w:after="0" w:line="240" w:lineRule="auto"/>
              <w:jc w:val="center"/>
            </w:pPr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Random Consistency RI Table</w:t>
            </w:r>
          </w:p>
        </w:tc>
      </w:tr>
      <w:tr w14:paraId="4F1780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170CA4E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i/>
                <w:iCs/>
                <w:sz w:val="20"/>
              </w:rPr>
              <w:t>n</w:t>
            </w:r>
            <w:r>
              <w:rPr>
                <w:rFonts w:ascii="Times New Roman" w:hAnsi="Times New Roman" w:eastAsia="宋体" w:cs="Times New Roman"/>
                <w:sz w:val="2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0"/>
              </w:rPr>
              <w:t>阶</w:t>
            </w:r>
          </w:p>
        </w:tc>
        <w:tc>
          <w:tcPr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08456A8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</w:t>
            </w:r>
          </w:p>
        </w:tc>
        <w:tc>
          <w:tcPr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BCFFE6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</w:t>
            </w:r>
          </w:p>
        </w:tc>
        <w:tc>
          <w:tcPr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491C7AC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5</w:t>
            </w:r>
          </w:p>
        </w:tc>
        <w:tc>
          <w:tcPr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6C2239A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</w:t>
            </w:r>
          </w:p>
        </w:tc>
        <w:tc>
          <w:tcPr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590335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7</w:t>
            </w:r>
          </w:p>
        </w:tc>
        <w:tc>
          <w:tcPr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03F45C4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8</w:t>
            </w:r>
          </w:p>
        </w:tc>
        <w:tc>
          <w:tcPr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4FAAFC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9</w:t>
            </w:r>
          </w:p>
        </w:tc>
        <w:tc>
          <w:tcPr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EA3B61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10</w:t>
            </w:r>
          </w:p>
        </w:tc>
        <w:tc>
          <w:tcPr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9267DB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11</w:t>
            </w:r>
          </w:p>
        </w:tc>
        <w:tc>
          <w:tcPr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3E6795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12</w:t>
            </w:r>
          </w:p>
        </w:tc>
        <w:tc>
          <w:tcPr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BFC56F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13</w:t>
            </w:r>
          </w:p>
        </w:tc>
        <w:tc>
          <w:tcPr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5685BA3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14</w:t>
            </w:r>
          </w:p>
        </w:tc>
        <w:tc>
          <w:tcPr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4DFB752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15</w:t>
            </w:r>
          </w:p>
        </w:tc>
        <w:tc>
          <w:tcPr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442F246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16</w:t>
            </w:r>
          </w:p>
        </w:tc>
      </w:tr>
      <w:tr w14:paraId="658E7E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0C865CE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RI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ACC1FE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0.52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16EDFB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0.89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C57496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1.12</w:t>
            </w:r>
          </w:p>
        </w:tc>
        <w:tc>
          <w:tcPr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85C44F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1.26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A47288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1.36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DB1A17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1.41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BDB5EC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1.46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8B113C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1.49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D63F0F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1.52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666998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1.54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CCF2B3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1.56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6EDF69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1.58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BE813F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1.59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4D1C79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1.5943</w:t>
            </w:r>
          </w:p>
        </w:tc>
      </w:tr>
      <w:tr w14:paraId="5BA5CA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AE3A1D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i/>
                <w:iCs/>
                <w:sz w:val="20"/>
              </w:rPr>
              <w:t>n</w:t>
            </w:r>
            <w:r>
              <w:rPr>
                <w:rFonts w:ascii="Times New Roman" w:hAnsi="Times New Roman" w:eastAsia="宋体" w:cs="Times New Roman"/>
                <w:sz w:val="2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0"/>
              </w:rPr>
              <w:t>阶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ED340E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17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A5DE4E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18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A9EF5B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19</w:t>
            </w:r>
          </w:p>
        </w:tc>
        <w:tc>
          <w:tcPr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834FBB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20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D46A60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21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332188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22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C660FA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23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637102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24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3BEC7A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25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03CA09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26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6AA2E0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27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73CBC7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28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54D8CE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29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4A4C2F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30</w:t>
            </w:r>
          </w:p>
        </w:tc>
      </w:tr>
      <w:tr w14:paraId="412EC5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Borders>
              <w:bottom w:val="single" w:color="auto" w:sz="12" w:space="0"/>
            </w:tcBorders>
          </w:tcPr>
          <w:p w14:paraId="4C0804D0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RI</w:t>
            </w:r>
          </w:p>
        </w:tc>
        <w:tc>
          <w:tcPr>
            <w:tcBorders>
              <w:bottom w:val="single" w:color="auto" w:sz="12" w:space="0"/>
            </w:tcBorders>
          </w:tcPr>
          <w:p w14:paraId="2E2A578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1.6064</w:t>
            </w:r>
          </w:p>
        </w:tc>
        <w:tc>
          <w:tcPr>
            <w:gridSpan w:val="2"/>
            <w:tcBorders>
              <w:bottom w:val="single" w:color="auto" w:sz="12" w:space="0"/>
            </w:tcBorders>
          </w:tcPr>
          <w:p w14:paraId="07A0AC4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1.6133</w:t>
            </w:r>
          </w:p>
        </w:tc>
        <w:tc>
          <w:tcPr>
            <w:gridSpan w:val="2"/>
            <w:tcBorders>
              <w:bottom w:val="single" w:color="auto" w:sz="12" w:space="0"/>
            </w:tcBorders>
          </w:tcPr>
          <w:p w14:paraId="3E22838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1.6207</w:t>
            </w:r>
          </w:p>
        </w:tc>
        <w:tc>
          <w:tcPr>
            <w:gridSpan w:val="3"/>
            <w:tcBorders>
              <w:bottom w:val="single" w:color="auto" w:sz="12" w:space="0"/>
            </w:tcBorders>
          </w:tcPr>
          <w:p w14:paraId="5720FD1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1.6292</w:t>
            </w:r>
          </w:p>
        </w:tc>
        <w:tc>
          <w:tcPr>
            <w:gridSpan w:val="2"/>
            <w:tcBorders>
              <w:bottom w:val="single" w:color="auto" w:sz="12" w:space="0"/>
            </w:tcBorders>
          </w:tcPr>
          <w:p w14:paraId="5D7C4A9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1.6358</w:t>
            </w:r>
          </w:p>
        </w:tc>
        <w:tc>
          <w:tcPr>
            <w:gridSpan w:val="2"/>
            <w:tcBorders>
              <w:bottom w:val="single" w:color="auto" w:sz="12" w:space="0"/>
            </w:tcBorders>
          </w:tcPr>
          <w:p w14:paraId="5F15EE7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1.6403</w:t>
            </w:r>
          </w:p>
        </w:tc>
        <w:tc>
          <w:tcPr>
            <w:gridSpan w:val="2"/>
            <w:tcBorders>
              <w:bottom w:val="single" w:color="auto" w:sz="12" w:space="0"/>
            </w:tcBorders>
          </w:tcPr>
          <w:p w14:paraId="1E32B2E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1.6462</w:t>
            </w:r>
          </w:p>
        </w:tc>
        <w:tc>
          <w:tcPr>
            <w:gridSpan w:val="2"/>
            <w:tcBorders>
              <w:bottom w:val="single" w:color="auto" w:sz="12" w:space="0"/>
            </w:tcBorders>
          </w:tcPr>
          <w:p w14:paraId="0E26AD1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1.6497</w:t>
            </w:r>
          </w:p>
        </w:tc>
        <w:tc>
          <w:tcPr>
            <w:tcBorders>
              <w:bottom w:val="single" w:color="auto" w:sz="12" w:space="0"/>
            </w:tcBorders>
          </w:tcPr>
          <w:p w14:paraId="6D9C05C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1.6556</w:t>
            </w:r>
          </w:p>
        </w:tc>
        <w:tc>
          <w:tcPr>
            <w:tcBorders>
              <w:bottom w:val="single" w:color="auto" w:sz="12" w:space="0"/>
            </w:tcBorders>
          </w:tcPr>
          <w:p w14:paraId="3D5EFD2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1.6587</w:t>
            </w:r>
          </w:p>
        </w:tc>
        <w:tc>
          <w:tcPr>
            <w:gridSpan w:val="2"/>
            <w:tcBorders>
              <w:bottom w:val="single" w:color="auto" w:sz="12" w:space="0"/>
            </w:tcBorders>
          </w:tcPr>
          <w:p w14:paraId="5573FFC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1.6631</w:t>
            </w:r>
          </w:p>
        </w:tc>
        <w:tc>
          <w:tcPr>
            <w:tcBorders>
              <w:bottom w:val="single" w:color="auto" w:sz="12" w:space="0"/>
            </w:tcBorders>
          </w:tcPr>
          <w:p w14:paraId="04547E9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1.6670</w:t>
            </w:r>
          </w:p>
        </w:tc>
        <w:tc>
          <w:tcPr>
            <w:gridSpan w:val="2"/>
            <w:tcBorders>
              <w:bottom w:val="single" w:color="auto" w:sz="12" w:space="0"/>
            </w:tcBorders>
          </w:tcPr>
          <w:p w14:paraId="482DF8D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1.6693</w:t>
            </w:r>
          </w:p>
        </w:tc>
        <w:tc>
          <w:tcPr>
            <w:tcBorders>
              <w:bottom w:val="single" w:color="auto" w:sz="12" w:space="0"/>
            </w:tcBorders>
          </w:tcPr>
          <w:p w14:paraId="7E178CF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1.6724</w:t>
            </w:r>
          </w:p>
        </w:tc>
      </w:tr>
      <w:bookmarkEnd w:id="2"/>
      <w:tr w14:paraId="24CAB1C2">
        <w:trPr>
          <w:gridAfter w:val="9"/>
          <w:wAfter w:w="3969" w:type="dxa"/>
          <w:cantSplit/>
          <w:trHeight w:val="226" w:hRule="atLeast"/>
          <w:jc w:val="center"/>
        </w:trPr>
        <w:tc>
          <w:tcPr>
            <w:gridSpan w:val="16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51D53C45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FF0000"/>
                <w:sz w:val="20"/>
              </w:rPr>
            </w:pPr>
            <w:bookmarkStart w:id="3" w:name="t4"/>
            <w:r>
              <w:rPr>
                <w:rFonts w:hint="eastAsia" w:ascii="Times New Roman" w:hAnsi="Times New Roman" w:eastAsia="宋体" w:cs="Times New Roman"/>
                <w:color w:val="FF0000"/>
                <w:sz w:val="20"/>
              </w:rPr>
              <w:t>Analysis Suggestions</w:t>
            </w:r>
          </w:p>
          <w:p w14:paraId="1346817A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FF0000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0"/>
              </w:rPr>
              <w:t>When using the AHP (Analytic Hierarchy Process) for weight calculation, a consistency check analysis is required;</w:t>
            </w:r>
          </w:p>
          <w:p w14:paraId="0D965B8B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FF0000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0"/>
              </w:rPr>
              <w:t>First: The consistency check requires the use of the CI and RI indicators;</w:t>
            </w:r>
          </w:p>
          <w:p w14:paraId="66BEB426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FF0000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0"/>
              </w:rPr>
              <w:t>Second: The CI value has been calculated, and the RI value can be looked up from the corresponding table.</w:t>
            </w:r>
          </w:p>
          <w:p w14:paraId="0C6B5CEF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FF0000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0"/>
              </w:rPr>
              <w:t>Intelligent Analysis</w:t>
            </w:r>
          </w:p>
          <w:p w14:paraId="35EA8089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FF0000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0"/>
              </w:rPr>
              <w:t>In this study, a 6-level judgment matrix was constructed. According to the above table, the corresponding random consistency RI value is 1.260, which will be used for the consistency check calculations below.</w:t>
            </w:r>
          </w:p>
          <w:p w14:paraId="316F7A14">
            <w:pPr>
              <w:pStyle w:val="24"/>
              <w:spacing w:before="0" w:after="0" w:line="240" w:lineRule="auto"/>
              <w:jc w:val="center"/>
            </w:pPr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Summary of Consistency Test Results</w:t>
            </w:r>
          </w:p>
        </w:tc>
      </w:tr>
      <w:tr w14:paraId="64FA8C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9"/>
          <w:wAfter w:w="3969" w:type="dxa"/>
          <w:cantSplit/>
          <w:trHeight w:val="226" w:hRule="atLeast"/>
          <w:jc w:val="center"/>
        </w:trPr>
        <w:tc>
          <w:tcPr>
            <w:tcW w:w="1216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057E4117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Largest eigenvalue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0D793C88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CI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6C78714E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RI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6547AE4D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CR</w:t>
            </w:r>
          </w:p>
        </w:tc>
        <w:tc>
          <w:tcPr>
            <w:tcW w:w="1616" w:type="dxa"/>
            <w:gridSpan w:val="6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79A23838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Consistency Test Results</w:t>
            </w:r>
          </w:p>
        </w:tc>
      </w:tr>
      <w:tr w14:paraId="1497D0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9"/>
          <w:wAfter w:w="3969" w:type="dxa"/>
          <w:cantSplit/>
          <w:trHeight w:val="226" w:hRule="atLeast"/>
          <w:jc w:val="center"/>
        </w:trPr>
        <w:tc>
          <w:tcPr>
            <w:gridSpan w:val="3"/>
            <w:tcBorders>
              <w:bottom w:val="single" w:color="auto" w:sz="12" w:space="0"/>
            </w:tcBorders>
          </w:tcPr>
          <w:p w14:paraId="2AF9340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6.073</w:t>
            </w:r>
          </w:p>
        </w:tc>
        <w:tc>
          <w:tcPr>
            <w:gridSpan w:val="2"/>
            <w:tcBorders>
              <w:bottom w:val="single" w:color="auto" w:sz="12" w:space="0"/>
            </w:tcBorders>
          </w:tcPr>
          <w:p w14:paraId="00F25E4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0.015</w:t>
            </w:r>
          </w:p>
        </w:tc>
        <w:tc>
          <w:tcPr>
            <w:gridSpan w:val="3"/>
            <w:tcBorders>
              <w:bottom w:val="single" w:color="auto" w:sz="12" w:space="0"/>
            </w:tcBorders>
          </w:tcPr>
          <w:p w14:paraId="6D231BE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1.260</w:t>
            </w:r>
          </w:p>
        </w:tc>
        <w:tc>
          <w:tcPr>
            <w:gridSpan w:val="2"/>
            <w:tcBorders>
              <w:bottom w:val="single" w:color="auto" w:sz="12" w:space="0"/>
            </w:tcBorders>
          </w:tcPr>
          <w:p w14:paraId="7C5B2BE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0.012</w:t>
            </w:r>
          </w:p>
        </w:tc>
        <w:tc>
          <w:tcPr>
            <w:gridSpan w:val="6"/>
            <w:tcBorders>
              <w:bottom w:val="single" w:color="auto" w:sz="12" w:space="0"/>
            </w:tcBorders>
          </w:tcPr>
          <w:p w14:paraId="551D13FC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pass through</w:t>
            </w:r>
          </w:p>
        </w:tc>
      </w:tr>
      <w:bookmarkEnd w:id="3"/>
    </w:tbl>
    <w:p w14:paraId="6863C8DB">
      <w:pPr>
        <w:pStyle w:val="3"/>
        <w:spacing w:before="0" w:after="0"/>
        <w:jc w:val="left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Analysis Recommendation</w:t>
      </w:r>
    </w:p>
    <w:p w14:paraId="10A96F7C">
      <w:pPr>
        <w:pStyle w:val="3"/>
        <w:spacing w:before="0" w:after="0"/>
        <w:jc w:val="left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When calculating weights using the AHP (Analytic Hierarchy Process), a consistency check is required to examine the consistency of the evaluation weight calculation results, specifically by calculating the consistency ratio CR (CR = CI/RI).</w:t>
      </w:r>
    </w:p>
    <w:p w14:paraId="4477EAE6">
      <w:pPr>
        <w:pStyle w:val="3"/>
        <w:spacing w:before="0" w:after="0"/>
        <w:jc w:val="left"/>
        <w:rPr>
          <w:rFonts w:hint="eastAsia" w:ascii="Times New Roman" w:hAnsi="Times New Roman" w:eastAsia="宋体" w:cs="Times New Roman"/>
          <w:color w:val="FF0000"/>
          <w:sz w:val="20"/>
        </w:rPr>
      </w:pPr>
    </w:p>
    <w:p w14:paraId="433C7651">
      <w:pPr>
        <w:pStyle w:val="3"/>
        <w:spacing w:before="0" w:after="0"/>
        <w:jc w:val="left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First: Describe the calculated CI value [CI = (λ_max - n)/(n - 1)];</w:t>
      </w:r>
    </w:p>
    <w:p w14:paraId="4A9E3C89">
      <w:pPr>
        <w:pStyle w:val="3"/>
        <w:spacing w:before="0" w:after="0"/>
        <w:jc w:val="left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Second: Obtain the RI value according to the order of the judgment matrix;</w:t>
      </w:r>
    </w:p>
    <w:p w14:paraId="75D3CA81">
      <w:pPr>
        <w:pStyle w:val="3"/>
        <w:spacing w:before="0" w:after="0"/>
        <w:jc w:val="left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Third: Calculate the CR value and conduct a consistency judgment.</w:t>
      </w:r>
    </w:p>
    <w:p w14:paraId="3127DCB0">
      <w:pPr>
        <w:pStyle w:val="3"/>
        <w:spacing w:before="0" w:after="0"/>
        <w:jc w:val="left"/>
        <w:rPr>
          <w:rFonts w:hint="eastAsia" w:ascii="Times New Roman" w:hAnsi="Times New Roman" w:eastAsia="宋体" w:cs="Times New Roman"/>
          <w:color w:val="FF0000"/>
          <w:sz w:val="20"/>
        </w:rPr>
      </w:pPr>
    </w:p>
    <w:p w14:paraId="5DDC54DD">
      <w:pPr>
        <w:pStyle w:val="3"/>
        <w:spacing w:before="0" w:after="0"/>
        <w:jc w:val="left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Intelligent Analysis</w:t>
      </w:r>
    </w:p>
    <w:p w14:paraId="1A936532">
      <w:pPr>
        <w:pStyle w:val="3"/>
        <w:spacing w:before="0" w:after="0"/>
        <w:jc w:val="left"/>
      </w:pPr>
      <w:r>
        <w:rPr>
          <w:rFonts w:hint="eastAsia" w:ascii="Times New Roman" w:hAnsi="Times New Roman" w:eastAsia="宋体" w:cs="Times New Roman"/>
          <w:color w:val="FF0000"/>
          <w:sz w:val="20"/>
        </w:rPr>
        <w:t>Generally, the smaller the CR value, the better the consistency of the judgment matrix. Typically, if the CR value is less than 0.1, the judgment matrix passes the consistency test; if the CR value is greater than 0.1, it indicates inconsistency and the judgment matrix should be appropriately adjusted before re-analysis. In this case, for a 6x6 judgment matrix, the calculated CI value is 0.015 and the RI value obtained from the table is 1.260. Therefore, the calculated CR value is 0.012 &lt; 0.1, meaning that the judgment matrix in this study meets the consistency test and the calculated weights are consistent.</w:t>
      </w:r>
      <w:r>
        <w:rPr>
          <w:rFonts w:ascii="Times New Roman" w:hAnsi="Times New Roman" w:eastAsia="宋体" w:cs="Times New Roman"/>
          <w:sz w:val="20"/>
        </w:rPr>
        <w:drawing>
          <wp:inline distT="0" distB="0" distL="114300" distR="114300">
            <wp:extent cx="5334000" cy="3048000"/>
            <wp:effectExtent l="0" t="0" r="0" b="0"/>
            <wp:docPr id="26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138E78F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References</w:t>
      </w:r>
    </w:p>
    <w:p w14:paraId="24186D60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[1] The SPSSAU project (2025). SPSSAU. (Version 25.0) [Online Application Software]. Retrieved from https://www.spssau.com.</w:t>
      </w:r>
    </w:p>
    <w:p w14:paraId="1DFD6382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[2] Zhou Jun, Ma Shipeng. SPSSAU Research Data Analysis Methods and Applications. 1st Edition [M]. Beijing: Publishing House of Electronics Industry, 2024.</w:t>
      </w:r>
    </w:p>
    <w:p w14:paraId="1DBE9B8B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[3] Han Li, Mei Qiang, Lu Yumei, et al. Analysis and Research on AHP-Fuzzy Comprehensive Evaluation Method [J]. Journal of China Safety Science, 2004, 14(7): 86-89.</w:t>
      </w:r>
    </w:p>
    <w:p w14:paraId="1D3B3512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[4] Tan Yuejin. Quantitative Analysis Methods [M]. Beijing: Renmin University of China Press, 2012.</w:t>
      </w:r>
    </w:p>
    <w:p w14:paraId="7A7C68DC">
      <w:pPr>
        <w:pStyle w:val="24"/>
        <w:spacing w:before="0" w:after="0"/>
      </w:pPr>
    </w:p>
    <w:sectPr>
      <w:footnotePr>
        <w:numRestart w:val="eachSect"/>
      </w:footnote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ptos">
    <w:altName w:val="宋体"/>
    <w:panose1 w:val="020B0004020202020204"/>
    <w:charset w:val="86"/>
    <w:family w:val="swiss"/>
    <w:pitch w:val="default"/>
    <w:sig w:usb0="00000000" w:usb1="00000000" w:usb2="00000000" w:usb3="00000000" w:csb0="0000019F" w:csb1="00000000"/>
  </w:font>
  <w:font w:name="Aptos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Segoe Print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ESRI AMFM Electric"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0"/>
    <w:footnote w:id="1"/>
  </w:footnotePr>
  <w:compat>
    <w:useFELayout/>
    <w:splitPgBreakAndParaMark/>
    <w:compatSetting w:name="compatibilityMode" w:uri="http://schemas.microsoft.com/office/word" w:val="12"/>
  </w:compat>
  <w:rsids>
    <w:rsidRoot w:val="00000000"/>
    <w:rsid w:val="00125CB5"/>
    <w:rsid w:val="0F0E3698"/>
    <w:rsid w:val="128200C1"/>
    <w:rsid w:val="2065739A"/>
    <w:rsid w:val="250A44A9"/>
    <w:rsid w:val="27A912B7"/>
    <w:rsid w:val="2ADE4D9A"/>
    <w:rsid w:val="2DFA3F4E"/>
    <w:rsid w:val="2E6D478D"/>
    <w:rsid w:val="306D0A4D"/>
    <w:rsid w:val="420209B2"/>
    <w:rsid w:val="58555460"/>
    <w:rsid w:val="58920462"/>
    <w:rsid w:val="59B241EC"/>
    <w:rsid w:val="5A420FF0"/>
    <w:rsid w:val="5EF80A78"/>
    <w:rsid w:val="66907F45"/>
    <w:rsid w:val="70883BA0"/>
    <w:rsid w:val="70E87EA3"/>
    <w:rsid w:val="755C446A"/>
    <w:rsid w:val="760E00AF"/>
    <w:rsid w:val="7B89704B"/>
    <w:rsid w:val="7E0E16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link w:val="31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2"/>
    <w:basedOn w:val="1"/>
    <w:next w:val="3"/>
    <w:link w:val="3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3"/>
    <w:basedOn w:val="1"/>
    <w:next w:val="3"/>
    <w:link w:val="33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6">
    <w:name w:val="heading 4"/>
    <w:basedOn w:val="1"/>
    <w:next w:val="3"/>
    <w:link w:val="34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7">
    <w:name w:val="heading 5"/>
    <w:basedOn w:val="1"/>
    <w:next w:val="3"/>
    <w:link w:val="35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8">
    <w:name w:val="heading 6"/>
    <w:basedOn w:val="1"/>
    <w:next w:val="3"/>
    <w:link w:val="36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85858" w:themeColor="text1" w:themeTint="A6"/>
    </w:rPr>
  </w:style>
  <w:style w:type="paragraph" w:styleId="9">
    <w:name w:val="heading 7"/>
    <w:basedOn w:val="1"/>
    <w:next w:val="3"/>
    <w:link w:val="37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85858" w:themeColor="text1" w:themeTint="A6"/>
    </w:rPr>
  </w:style>
  <w:style w:type="paragraph" w:styleId="10">
    <w:name w:val="heading 8"/>
    <w:basedOn w:val="1"/>
    <w:next w:val="3"/>
    <w:link w:val="38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8"/>
    </w:rPr>
  </w:style>
  <w:style w:type="paragraph" w:styleId="11">
    <w:name w:val="heading 9"/>
    <w:basedOn w:val="1"/>
    <w:next w:val="3"/>
    <w:link w:val="39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8"/>
    </w:rPr>
  </w:style>
  <w:style w:type="character" w:default="1" w:styleId="19">
    <w:name w:val="Default Paragraph Font"/>
    <w:semiHidden/>
    <w:unhideWhenUsed/>
    <w:uiPriority w:val="0"/>
  </w:style>
  <w:style w:type="table" w:default="1" w:styleId="18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qFormat/>
    <w:uiPriority w:val="0"/>
    <w:pPr>
      <w:spacing w:before="180" w:after="180"/>
    </w:pPr>
  </w:style>
  <w:style w:type="paragraph" w:styleId="12">
    <w:name w:val="caption"/>
    <w:basedOn w:val="1"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Subtitle"/>
    <w:basedOn w:val="16"/>
    <w:next w:val="3"/>
    <w:link w:val="26"/>
    <w:qFormat/>
    <w:uiPriority w:val="11"/>
    <w:rPr>
      <w:rFonts w:eastAsiaTheme="majorEastAsia" w:cstheme="majorBidi"/>
      <w:spacing w:val="15"/>
      <w:sz w:val="28"/>
      <w:szCs w:val="28"/>
    </w:rPr>
  </w:style>
  <w:style w:type="paragraph" w:styleId="16">
    <w:name w:val="Title"/>
    <w:basedOn w:val="1"/>
    <w:next w:val="3"/>
    <w:link w:val="25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7">
    <w:name w:val="footnote text"/>
    <w:basedOn w:val="1"/>
    <w:unhideWhenUsed/>
    <w:qFormat/>
    <w:uiPriority w:val="9"/>
  </w:style>
  <w:style w:type="character" w:styleId="20">
    <w:name w:val="Hyperlink"/>
    <w:basedOn w:val="21"/>
    <w:uiPriority w:val="0"/>
    <w:rPr>
      <w:color w:val="156082" w:themeColor="accent1"/>
    </w:rPr>
  </w:style>
  <w:style w:type="character" w:customStyle="1" w:styleId="21">
    <w:name w:val="Body Text Char"/>
    <w:basedOn w:val="19"/>
    <w:link w:val="3"/>
    <w:uiPriority w:val="0"/>
  </w:style>
  <w:style w:type="character" w:styleId="22">
    <w:name w:val="footnote reference"/>
    <w:basedOn w:val="21"/>
    <w:uiPriority w:val="0"/>
    <w:rPr>
      <w:vertAlign w:val="superscript"/>
    </w:rPr>
  </w:style>
  <w:style w:type="paragraph" w:customStyle="1" w:styleId="23">
    <w:name w:val="First Paragraph"/>
    <w:basedOn w:val="3"/>
    <w:next w:val="3"/>
    <w:qFormat/>
    <w:uiPriority w:val="0"/>
  </w:style>
  <w:style w:type="paragraph" w:customStyle="1" w:styleId="24">
    <w:name w:val="Compact"/>
    <w:basedOn w:val="3"/>
    <w:qFormat/>
    <w:uiPriority w:val="0"/>
    <w:pPr>
      <w:spacing w:before="36" w:after="36"/>
    </w:pPr>
  </w:style>
  <w:style w:type="character" w:customStyle="1" w:styleId="25">
    <w:name w:val="Title Char"/>
    <w:basedOn w:val="19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Subtitle Char"/>
    <w:basedOn w:val="19"/>
    <w:link w:val="15"/>
    <w:qFormat/>
    <w:uiPriority w:val="11"/>
    <w:rPr>
      <w:rFonts w:eastAsiaTheme="majorEastAsia" w:cstheme="majorBidi"/>
      <w:color w:val="585858" w:themeColor="text1" w:themeTint="A6"/>
      <w:spacing w:val="15"/>
      <w:sz w:val="28"/>
      <w:szCs w:val="28"/>
    </w:r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 Title"/>
    <w:basedOn w:val="1"/>
    <w:next w:val="29"/>
    <w:qFormat/>
    <w:uiPriority w:val="0"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29">
    <w:name w:val="Abstract"/>
    <w:basedOn w:val="1"/>
    <w:next w:val="3"/>
    <w:qFormat/>
    <w:uiPriority w:val="0"/>
    <w:pPr>
      <w:keepNext/>
      <w:keepLines/>
      <w:spacing w:before="100" w:after="300"/>
    </w:pPr>
    <w:rPr>
      <w:sz w:val="20"/>
      <w:szCs w:val="20"/>
    </w:rPr>
  </w:style>
  <w:style w:type="paragraph" w:customStyle="1" w:styleId="30">
    <w:name w:val="Bibliography"/>
    <w:basedOn w:val="1"/>
    <w:qFormat/>
    <w:uiPriority w:val="0"/>
  </w:style>
  <w:style w:type="character" w:customStyle="1" w:styleId="31">
    <w:name w:val="Heading 1 Char"/>
    <w:basedOn w:val="19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32">
    <w:name w:val="Heading 2 Char"/>
    <w:basedOn w:val="19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33">
    <w:name w:val="Heading 3 Char"/>
    <w:basedOn w:val="19"/>
    <w:link w:val="5"/>
    <w:semiHidden/>
    <w:qFormat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34">
    <w:name w:val="Heading 4 Char"/>
    <w:basedOn w:val="19"/>
    <w:link w:val="6"/>
    <w:semiHidden/>
    <w:qFormat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35">
    <w:name w:val="Heading 5 Char"/>
    <w:basedOn w:val="19"/>
    <w:link w:val="7"/>
    <w:semiHidden/>
    <w:qFormat/>
    <w:uiPriority w:val="9"/>
    <w:rPr>
      <w:rFonts w:eastAsiaTheme="majorEastAsia" w:cstheme="majorBidi"/>
      <w:color w:val="0F4761" w:themeColor="accent1" w:themeShade="BF"/>
    </w:rPr>
  </w:style>
  <w:style w:type="character" w:customStyle="1" w:styleId="36">
    <w:name w:val="Heading 6 Char"/>
    <w:basedOn w:val="19"/>
    <w:link w:val="8"/>
    <w:semiHidden/>
    <w:qFormat/>
    <w:uiPriority w:val="9"/>
    <w:rPr>
      <w:rFonts w:eastAsiaTheme="majorEastAsia" w:cstheme="majorBidi"/>
      <w:i/>
      <w:iCs/>
      <w:color w:val="585858" w:themeColor="text1" w:themeTint="A6"/>
    </w:rPr>
  </w:style>
  <w:style w:type="character" w:customStyle="1" w:styleId="37">
    <w:name w:val="Heading 7 Char"/>
    <w:basedOn w:val="19"/>
    <w:link w:val="9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38">
    <w:name w:val="Heading 8 Char"/>
    <w:basedOn w:val="19"/>
    <w:link w:val="10"/>
    <w:semiHidden/>
    <w:qFormat/>
    <w:uiPriority w:val="9"/>
    <w:rPr>
      <w:rFonts w:eastAsiaTheme="majorEastAsia" w:cstheme="majorBidi"/>
      <w:i/>
      <w:iCs/>
      <w:color w:val="262626" w:themeColor="text1" w:themeTint="D8"/>
    </w:rPr>
  </w:style>
  <w:style w:type="character" w:customStyle="1" w:styleId="39">
    <w:name w:val="Heading 9 Char"/>
    <w:basedOn w:val="19"/>
    <w:link w:val="11"/>
    <w:semiHidden/>
    <w:uiPriority w:val="9"/>
    <w:rPr>
      <w:rFonts w:eastAsiaTheme="majorEastAsia" w:cstheme="majorBidi"/>
      <w:color w:val="262626" w:themeColor="text1" w:themeTint="D8"/>
    </w:rPr>
  </w:style>
  <w:style w:type="paragraph" w:customStyle="1" w:styleId="40">
    <w:name w:val="Footnote Block Text"/>
    <w:basedOn w:val="17"/>
    <w:next w:val="17"/>
    <w:unhideWhenUsed/>
    <w:qFormat/>
    <w:uiPriority w:val="9"/>
    <w:pPr>
      <w:spacing w:before="100" w:after="100"/>
      <w:ind w:left="480" w:right="480" w:firstLine="0"/>
    </w:pPr>
  </w:style>
  <w:style w:type="table" w:customStyle="1" w:styleId="41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color="auto" w:sz="0" w:space="0"/>
        </w:tcBorders>
        <w:vAlign w:val="bottom"/>
      </w:tcPr>
    </w:tblStylePr>
  </w:style>
  <w:style w:type="paragraph" w:customStyle="1" w:styleId="42">
    <w:name w:val="Definition Term"/>
    <w:basedOn w:val="1"/>
    <w:next w:val="43"/>
    <w:uiPriority w:val="0"/>
    <w:pPr>
      <w:keepNext/>
      <w:keepLines/>
      <w:spacing w:after="0"/>
    </w:pPr>
    <w:rPr>
      <w:b/>
    </w:rPr>
  </w:style>
  <w:style w:type="paragraph" w:customStyle="1" w:styleId="43">
    <w:name w:val="Definition"/>
    <w:basedOn w:val="1"/>
    <w:uiPriority w:val="0"/>
  </w:style>
  <w:style w:type="paragraph" w:customStyle="1" w:styleId="44">
    <w:name w:val="Table Caption"/>
    <w:basedOn w:val="12"/>
    <w:uiPriority w:val="0"/>
    <w:pPr>
      <w:keepNext/>
    </w:pPr>
  </w:style>
  <w:style w:type="paragraph" w:customStyle="1" w:styleId="45">
    <w:name w:val="Image Caption"/>
    <w:basedOn w:val="12"/>
    <w:uiPriority w:val="0"/>
  </w:style>
  <w:style w:type="paragraph" w:customStyle="1" w:styleId="46">
    <w:name w:val="Figure"/>
    <w:basedOn w:val="1"/>
    <w:uiPriority w:val="0"/>
  </w:style>
  <w:style w:type="paragraph" w:customStyle="1" w:styleId="47">
    <w:name w:val="Captioned Figure"/>
    <w:basedOn w:val="46"/>
    <w:uiPriority w:val="0"/>
    <w:pPr>
      <w:keepNext/>
    </w:pPr>
  </w:style>
  <w:style w:type="character" w:customStyle="1" w:styleId="48">
    <w:name w:val="Verbatim Char"/>
    <w:basedOn w:val="21"/>
    <w:link w:val="49"/>
    <w:uiPriority w:val="0"/>
    <w:rPr>
      <w:rFonts w:ascii="Consolas" w:hAnsi="Consolas"/>
      <w:sz w:val="22"/>
    </w:rPr>
  </w:style>
  <w:style w:type="paragraph" w:customStyle="1" w:styleId="49">
    <w:name w:val="Source Code"/>
    <w:basedOn w:val="1"/>
    <w:link w:val="48"/>
    <w:uiPriority w:val="0"/>
    <w:pPr>
      <w:wordWrap w:val="0"/>
    </w:pPr>
  </w:style>
  <w:style w:type="character" w:customStyle="1" w:styleId="50">
    <w:name w:val="Section Number"/>
    <w:basedOn w:val="21"/>
    <w:uiPriority w:val="0"/>
  </w:style>
  <w:style w:type="paragraph" w:customStyle="1" w:styleId="51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color w:val="0F4761" w:themeColor="accent1" w:themeShade="BF"/>
    </w:rPr>
  </w:style>
  <w:style w:type="character" w:customStyle="1" w:styleId="52">
    <w:name w:val="KeywordTok"/>
    <w:basedOn w:val="48"/>
    <w:qFormat/>
    <w:uiPriority w:val="0"/>
    <w:rPr>
      <w:b/>
      <w:color w:val="007020"/>
    </w:rPr>
  </w:style>
  <w:style w:type="character" w:customStyle="1" w:styleId="53">
    <w:name w:val="DataTypeTok"/>
    <w:basedOn w:val="48"/>
    <w:uiPriority w:val="0"/>
    <w:rPr>
      <w:color w:val="902000"/>
    </w:rPr>
  </w:style>
  <w:style w:type="character" w:customStyle="1" w:styleId="54">
    <w:name w:val="DecValTok"/>
    <w:basedOn w:val="48"/>
    <w:qFormat/>
    <w:uiPriority w:val="0"/>
    <w:rPr>
      <w:color w:val="40A070"/>
    </w:rPr>
  </w:style>
  <w:style w:type="character" w:customStyle="1" w:styleId="55">
    <w:name w:val="BaseNTok"/>
    <w:basedOn w:val="48"/>
    <w:qFormat/>
    <w:uiPriority w:val="0"/>
    <w:rPr>
      <w:color w:val="40A070"/>
    </w:rPr>
  </w:style>
  <w:style w:type="character" w:customStyle="1" w:styleId="56">
    <w:name w:val="FloatTok"/>
    <w:basedOn w:val="48"/>
    <w:qFormat/>
    <w:uiPriority w:val="0"/>
    <w:rPr>
      <w:color w:val="40A070"/>
    </w:rPr>
  </w:style>
  <w:style w:type="character" w:customStyle="1" w:styleId="57">
    <w:name w:val="ConstantTok"/>
    <w:basedOn w:val="48"/>
    <w:qFormat/>
    <w:uiPriority w:val="0"/>
    <w:rPr>
      <w:color w:val="880000"/>
    </w:rPr>
  </w:style>
  <w:style w:type="character" w:customStyle="1" w:styleId="58">
    <w:name w:val="CharTok"/>
    <w:basedOn w:val="48"/>
    <w:qFormat/>
    <w:uiPriority w:val="0"/>
    <w:rPr>
      <w:color w:val="4070A0"/>
    </w:rPr>
  </w:style>
  <w:style w:type="character" w:customStyle="1" w:styleId="59">
    <w:name w:val="SpecialCharTok"/>
    <w:basedOn w:val="48"/>
    <w:uiPriority w:val="0"/>
    <w:rPr>
      <w:color w:val="4070A0"/>
    </w:rPr>
  </w:style>
  <w:style w:type="character" w:customStyle="1" w:styleId="60">
    <w:name w:val="StringTok"/>
    <w:basedOn w:val="48"/>
    <w:qFormat/>
    <w:uiPriority w:val="0"/>
    <w:rPr>
      <w:color w:val="4070A0"/>
    </w:rPr>
  </w:style>
  <w:style w:type="character" w:customStyle="1" w:styleId="61">
    <w:name w:val="VerbatimStringTok"/>
    <w:basedOn w:val="48"/>
    <w:qFormat/>
    <w:uiPriority w:val="0"/>
    <w:rPr>
      <w:color w:val="4070A0"/>
    </w:rPr>
  </w:style>
  <w:style w:type="character" w:customStyle="1" w:styleId="62">
    <w:name w:val="SpecialStringTok"/>
    <w:basedOn w:val="48"/>
    <w:qFormat/>
    <w:uiPriority w:val="0"/>
    <w:rPr>
      <w:color w:val="BB6688"/>
    </w:rPr>
  </w:style>
  <w:style w:type="character" w:customStyle="1" w:styleId="63">
    <w:name w:val="ImportTok"/>
    <w:basedOn w:val="48"/>
    <w:qFormat/>
    <w:uiPriority w:val="0"/>
    <w:rPr>
      <w:b/>
      <w:color w:val="008000"/>
    </w:rPr>
  </w:style>
  <w:style w:type="character" w:customStyle="1" w:styleId="64">
    <w:name w:val="CommentTok"/>
    <w:basedOn w:val="48"/>
    <w:qFormat/>
    <w:uiPriority w:val="0"/>
    <w:rPr>
      <w:i/>
      <w:color w:val="60A0B0"/>
    </w:rPr>
  </w:style>
  <w:style w:type="character" w:customStyle="1" w:styleId="65">
    <w:name w:val="DocumentationTok"/>
    <w:basedOn w:val="48"/>
    <w:qFormat/>
    <w:uiPriority w:val="0"/>
    <w:rPr>
      <w:i/>
      <w:color w:val="BA2121"/>
    </w:rPr>
  </w:style>
  <w:style w:type="character" w:customStyle="1" w:styleId="66">
    <w:name w:val="AnnotationTok"/>
    <w:basedOn w:val="48"/>
    <w:qFormat/>
    <w:uiPriority w:val="0"/>
    <w:rPr>
      <w:b/>
      <w:i/>
      <w:color w:val="60A0B0"/>
    </w:rPr>
  </w:style>
  <w:style w:type="character" w:customStyle="1" w:styleId="67">
    <w:name w:val="CommentVarTok"/>
    <w:basedOn w:val="48"/>
    <w:qFormat/>
    <w:uiPriority w:val="0"/>
    <w:rPr>
      <w:b/>
      <w:i/>
      <w:color w:val="60A0B0"/>
    </w:rPr>
  </w:style>
  <w:style w:type="character" w:customStyle="1" w:styleId="68">
    <w:name w:val="OtherTok"/>
    <w:basedOn w:val="48"/>
    <w:qFormat/>
    <w:uiPriority w:val="0"/>
    <w:rPr>
      <w:color w:val="007020"/>
    </w:rPr>
  </w:style>
  <w:style w:type="character" w:customStyle="1" w:styleId="69">
    <w:name w:val="FunctionTok"/>
    <w:basedOn w:val="48"/>
    <w:uiPriority w:val="0"/>
    <w:rPr>
      <w:color w:val="06287E"/>
    </w:rPr>
  </w:style>
  <w:style w:type="character" w:customStyle="1" w:styleId="70">
    <w:name w:val="VariableTok"/>
    <w:basedOn w:val="48"/>
    <w:qFormat/>
    <w:uiPriority w:val="0"/>
    <w:rPr>
      <w:color w:val="19177C"/>
    </w:rPr>
  </w:style>
  <w:style w:type="character" w:customStyle="1" w:styleId="71">
    <w:name w:val="ControlFlowTok"/>
    <w:basedOn w:val="48"/>
    <w:qFormat/>
    <w:uiPriority w:val="0"/>
    <w:rPr>
      <w:b/>
      <w:color w:val="007020"/>
    </w:rPr>
  </w:style>
  <w:style w:type="character" w:customStyle="1" w:styleId="72">
    <w:name w:val="OperatorTok"/>
    <w:basedOn w:val="48"/>
    <w:qFormat/>
    <w:uiPriority w:val="0"/>
    <w:rPr>
      <w:color w:val="666666"/>
    </w:rPr>
  </w:style>
  <w:style w:type="character" w:customStyle="1" w:styleId="73">
    <w:name w:val="BuiltInTok"/>
    <w:basedOn w:val="48"/>
    <w:qFormat/>
    <w:uiPriority w:val="0"/>
    <w:rPr>
      <w:color w:val="008000"/>
    </w:rPr>
  </w:style>
  <w:style w:type="character" w:customStyle="1" w:styleId="74">
    <w:name w:val="ExtensionTok"/>
    <w:basedOn w:val="48"/>
    <w:qFormat/>
    <w:uiPriority w:val="0"/>
  </w:style>
  <w:style w:type="character" w:customStyle="1" w:styleId="75">
    <w:name w:val="PreprocessorTok"/>
    <w:basedOn w:val="48"/>
    <w:qFormat/>
    <w:uiPriority w:val="0"/>
    <w:rPr>
      <w:color w:val="BC7A00"/>
    </w:rPr>
  </w:style>
  <w:style w:type="character" w:customStyle="1" w:styleId="76">
    <w:name w:val="AttributeTok"/>
    <w:basedOn w:val="48"/>
    <w:qFormat/>
    <w:uiPriority w:val="0"/>
    <w:rPr>
      <w:color w:val="7D9029"/>
    </w:rPr>
  </w:style>
  <w:style w:type="character" w:customStyle="1" w:styleId="77">
    <w:name w:val="RegionMarkerTok"/>
    <w:basedOn w:val="48"/>
    <w:uiPriority w:val="0"/>
  </w:style>
  <w:style w:type="character" w:customStyle="1" w:styleId="78">
    <w:name w:val="InformationTok"/>
    <w:basedOn w:val="48"/>
    <w:qFormat/>
    <w:uiPriority w:val="0"/>
    <w:rPr>
      <w:b/>
      <w:i/>
      <w:color w:val="60A0B0"/>
    </w:rPr>
  </w:style>
  <w:style w:type="character" w:customStyle="1" w:styleId="79">
    <w:name w:val="WarningTok"/>
    <w:basedOn w:val="48"/>
    <w:qFormat/>
    <w:uiPriority w:val="0"/>
    <w:rPr>
      <w:b/>
      <w:i/>
      <w:color w:val="60A0B0"/>
    </w:rPr>
  </w:style>
  <w:style w:type="character" w:customStyle="1" w:styleId="80">
    <w:name w:val="AlertTok"/>
    <w:basedOn w:val="48"/>
    <w:qFormat/>
    <w:uiPriority w:val="0"/>
    <w:rPr>
      <w:b/>
      <w:color w:val="FF0000"/>
    </w:rPr>
  </w:style>
  <w:style w:type="character" w:customStyle="1" w:styleId="81">
    <w:name w:val="ErrorTok"/>
    <w:basedOn w:val="48"/>
    <w:qFormat/>
    <w:uiPriority w:val="0"/>
    <w:rPr>
      <w:b/>
      <w:color w:val="FF0000"/>
    </w:rPr>
  </w:style>
  <w:style w:type="character" w:customStyle="1" w:styleId="82">
    <w:name w:val="NormalTok"/>
    <w:basedOn w:val="4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764</Words>
  <Characters>1272</Characters>
  <Lines>12</Lines>
  <Paragraphs>8</Paragraphs>
  <TotalTime>0</TotalTime>
  <ScaleCrop>false</ScaleCrop>
  <LinksUpToDate>false</LinksUpToDate>
  <CharactersWithSpaces>1278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2025-12-17T02:04:00Z</dcterms:created>
  <dc:creator>向往</dc:creator>
  <cp:lastModifiedBy>向往</cp:lastModifiedBy>
  <dcterms:modified xsi:type="dcterms:W3CDTF">2026-02-07T06:04:50Z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eyJoZGlkIjoiMzgyM2VkNDFlZGVjODg2ZWJjZTUxMjczMWQ5ZDkwYmQiLCJ1c2VySWQiOiI1NDE2ODAxNjEifQ==</vt:lpwstr>
  </property>
  <property fmtid="{D5CDD505-2E9C-101B-9397-08002B2CF9AE}" pid="3" name="KSOProductBuildVer">
    <vt:lpwstr>2052-12.1.0.24657</vt:lpwstr>
  </property>
  <property fmtid="{D5CDD505-2E9C-101B-9397-08002B2CF9AE}" pid="4" name="ICV">
    <vt:lpwstr>AC79444AFCC342AC890E4E797D7EBFFB_12</vt:lpwstr>
  </property>
</Properties>
</file>